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0F08" w14:textId="2F3916C8" w:rsidR="0078093F" w:rsidRDefault="00FA3B62" w:rsidP="00480C9D">
      <w:pPr>
        <w:rPr>
          <w:rFonts w:ascii="Tahoma" w:hAnsi="Tahoma" w:cs="Tahoma"/>
          <w:b/>
        </w:rPr>
      </w:pPr>
      <w:r>
        <w:rPr>
          <w:rFonts w:ascii="Tahoma" w:hAnsi="Tahoma" w:cs="Tahoma"/>
          <w:b/>
        </w:rPr>
        <w:t>Versicherungsbranche in Deutschland</w:t>
      </w:r>
    </w:p>
    <w:p w14:paraId="1B255B81" w14:textId="3D1D462D" w:rsidR="00CA1466" w:rsidRDefault="00FA3B62" w:rsidP="007E7931">
      <w:pPr>
        <w:rPr>
          <w:rFonts w:ascii="Tahoma" w:hAnsi="Tahoma" w:cs="Tahoma"/>
          <w:bCs/>
        </w:rPr>
      </w:pPr>
      <w:r>
        <w:rPr>
          <w:rFonts w:ascii="Tahoma" w:hAnsi="Tahoma" w:cs="Tahoma"/>
          <w:bCs/>
        </w:rPr>
        <w:t>Arbeitsmarktprognose</w:t>
      </w:r>
      <w:r w:rsidR="004E5AD2">
        <w:rPr>
          <w:rFonts w:ascii="Tahoma" w:hAnsi="Tahoma" w:cs="Tahoma"/>
          <w:bCs/>
        </w:rPr>
        <w:t>n</w:t>
      </w:r>
      <w:r>
        <w:rPr>
          <w:rFonts w:ascii="Tahoma" w:hAnsi="Tahoma" w:cs="Tahoma"/>
          <w:bCs/>
        </w:rPr>
        <w:t xml:space="preserve"> </w:t>
      </w:r>
      <w:r w:rsidR="00CA1466">
        <w:rPr>
          <w:rFonts w:ascii="Tahoma" w:hAnsi="Tahoma" w:cs="Tahoma"/>
          <w:bCs/>
        </w:rPr>
        <w:t>diagnostizieren für die Branche der Finanzdienstleistungen, darunter auch und vor allem die Versicherungen, langfristig Arbeitsplatzverluste</w:t>
      </w:r>
      <w:r w:rsidR="004E5AD2">
        <w:rPr>
          <w:rFonts w:ascii="Tahoma" w:hAnsi="Tahoma" w:cs="Tahoma"/>
          <w:bCs/>
        </w:rPr>
        <w:t>.</w:t>
      </w:r>
      <w:r w:rsidR="00CA1466">
        <w:rPr>
          <w:rFonts w:ascii="Tahoma" w:hAnsi="Tahoma" w:cs="Tahoma"/>
          <w:bCs/>
        </w:rPr>
        <w:t xml:space="preserve"> Im Zuge der Digitalisierung werden Geschäftsstellen und Filialen abgebaut und neue Geschäftsmodelle basieren vor allem auf digitalen Anwendungen. </w:t>
      </w:r>
    </w:p>
    <w:p w14:paraId="361A2E36" w14:textId="06B1E512" w:rsidR="00625629" w:rsidRDefault="005C4FEC" w:rsidP="007E7931">
      <w:pPr>
        <w:rPr>
          <w:rFonts w:ascii="Tahoma" w:hAnsi="Tahoma" w:cs="Tahoma"/>
          <w:bCs/>
        </w:rPr>
      </w:pPr>
      <w:r>
        <w:rPr>
          <w:rFonts w:ascii="Tahoma" w:hAnsi="Tahoma" w:cs="Tahoma"/>
          <w:bCs/>
        </w:rPr>
        <w:t xml:space="preserve">Nach Angaben des statistischen Bundesamts hat die Zahl der </w:t>
      </w:r>
      <w:r w:rsidR="004E5AD2">
        <w:rPr>
          <w:rFonts w:ascii="Tahoma" w:hAnsi="Tahoma" w:cs="Tahoma"/>
          <w:bCs/>
        </w:rPr>
        <w:t>sozialversicherungspflichtig</w:t>
      </w:r>
      <w:r>
        <w:rPr>
          <w:rFonts w:ascii="Tahoma" w:hAnsi="Tahoma" w:cs="Tahoma"/>
          <w:bCs/>
        </w:rPr>
        <w:t xml:space="preserve">-Beschäftigten seit </w:t>
      </w:r>
      <w:r w:rsidR="004B2F22">
        <w:rPr>
          <w:rFonts w:ascii="Tahoma" w:hAnsi="Tahoma" w:cs="Tahoma"/>
          <w:bCs/>
        </w:rPr>
        <w:t>2012</w:t>
      </w:r>
      <w:r>
        <w:rPr>
          <w:rFonts w:ascii="Tahoma" w:hAnsi="Tahoma" w:cs="Tahoma"/>
          <w:bCs/>
        </w:rPr>
        <w:t xml:space="preserve"> um </w:t>
      </w:r>
      <w:r w:rsidR="004B2F22">
        <w:rPr>
          <w:rFonts w:ascii="Tahoma" w:hAnsi="Tahoma" w:cs="Tahoma"/>
          <w:bCs/>
        </w:rPr>
        <w:t>2</w:t>
      </w:r>
      <w:r>
        <w:rPr>
          <w:rFonts w:ascii="Tahoma" w:hAnsi="Tahoma" w:cs="Tahoma"/>
          <w:bCs/>
        </w:rPr>
        <w:t xml:space="preserve">,5% abgenommen. </w:t>
      </w:r>
      <w:r w:rsidR="00625629">
        <w:rPr>
          <w:rFonts w:ascii="Tahoma" w:hAnsi="Tahoma" w:cs="Tahoma"/>
          <w:bCs/>
        </w:rPr>
        <w:t xml:space="preserve">Die leichte Zunahme in den letzten Jahren resultiert hauptsächlich aus der Zunahme der Teilzeitstellen (19,6%), während die Vollzeitstellen um 10,5% gesunken sind. </w:t>
      </w:r>
    </w:p>
    <w:p w14:paraId="26AF8AFF" w14:textId="0818B814" w:rsidR="00625629" w:rsidRDefault="00625629" w:rsidP="007E7931">
      <w:pPr>
        <w:rPr>
          <w:rFonts w:ascii="Tahoma" w:hAnsi="Tahoma" w:cs="Tahoma"/>
          <w:bCs/>
        </w:rPr>
      </w:pPr>
      <w:r>
        <w:rPr>
          <w:rFonts w:ascii="Tahoma" w:hAnsi="Tahoma" w:cs="Tahoma"/>
          <w:bCs/>
        </w:rPr>
        <w:t>Die regionale Verteilung der Arbeitsplätze in der Versicherungsbranche hängt vor allem mit dem Hauptsitz der großen Versicherungsgesellschaften zusammen: München liegt mit ca. 30.100 Beschäftigten vor Köln (24.550), Hamburg (18.480) und Stuttgart (13.950). Der mit Abs</w:t>
      </w:r>
      <w:r w:rsidR="00BE3D71">
        <w:rPr>
          <w:rFonts w:ascii="Tahoma" w:hAnsi="Tahoma" w:cs="Tahoma"/>
          <w:bCs/>
        </w:rPr>
        <w:t xml:space="preserve">tand größte Versicherungskonzern ist die Allianz Group gefolgt von der Munich-Re Gruppe und der Talanx. </w:t>
      </w:r>
    </w:p>
    <w:p w14:paraId="0A38878E" w14:textId="5FE6AE8B" w:rsidR="005C3A86" w:rsidRDefault="00E852E7" w:rsidP="007E7931">
      <w:pPr>
        <w:rPr>
          <w:rFonts w:ascii="Tahoma" w:hAnsi="Tahoma" w:cs="Tahoma"/>
          <w:bCs/>
        </w:rPr>
      </w:pPr>
      <w:r>
        <w:rPr>
          <w:rFonts w:ascii="Tahoma" w:hAnsi="Tahoma" w:cs="Tahoma"/>
          <w:bCs/>
        </w:rPr>
        <w:t>Das Institut für Versicherungswirtschaft der Universität St. Gallen hat über eine Umfrage bei Vertretern von Versicherungsunternehmen Trends identifiziert und hinsichtlich ihrer Auswirkungen auf künftige Fähigkeiten bewertet.</w:t>
      </w:r>
      <w:r>
        <w:rPr>
          <w:rStyle w:val="Funotenzeichen"/>
          <w:rFonts w:ascii="Tahoma" w:hAnsi="Tahoma" w:cs="Tahoma"/>
          <w:bCs/>
        </w:rPr>
        <w:footnoteReference w:id="1"/>
      </w:r>
      <w:r>
        <w:rPr>
          <w:rFonts w:ascii="Tahoma" w:hAnsi="Tahoma" w:cs="Tahoma"/>
          <w:bCs/>
        </w:rPr>
        <w:t xml:space="preserve"> </w:t>
      </w:r>
      <w:r w:rsidR="005C3A86">
        <w:rPr>
          <w:rFonts w:ascii="Tahoma" w:hAnsi="Tahoma" w:cs="Tahoma"/>
          <w:bCs/>
        </w:rPr>
        <w:t xml:space="preserve">Für die Entwicklung der Versicherungswirtschaft bis zum Ende des Jahrzehnts werden im </w:t>
      </w:r>
      <w:r w:rsidR="00784092">
        <w:rPr>
          <w:rFonts w:ascii="Tahoma" w:hAnsi="Tahoma" w:cs="Tahoma"/>
          <w:bCs/>
        </w:rPr>
        <w:t>A</w:t>
      </w:r>
      <w:r w:rsidR="005C3A86">
        <w:rPr>
          <w:rFonts w:ascii="Tahoma" w:hAnsi="Tahoma" w:cs="Tahoma"/>
          <w:bCs/>
        </w:rPr>
        <w:t>llgemein</w:t>
      </w:r>
      <w:r w:rsidR="00784092">
        <w:rPr>
          <w:rFonts w:ascii="Tahoma" w:hAnsi="Tahoma" w:cs="Tahoma"/>
          <w:bCs/>
        </w:rPr>
        <w:t>en</w:t>
      </w:r>
      <w:r w:rsidR="005C3A86">
        <w:rPr>
          <w:rFonts w:ascii="Tahoma" w:hAnsi="Tahoma" w:cs="Tahoma"/>
          <w:bCs/>
        </w:rPr>
        <w:t xml:space="preserve"> folgende Trends für wesentlich erachtet:</w:t>
      </w:r>
    </w:p>
    <w:p w14:paraId="13CEF97B" w14:textId="77777777" w:rsidR="005C3A86" w:rsidRPr="005C3A86" w:rsidRDefault="005C3A86" w:rsidP="005C3A86">
      <w:pPr>
        <w:pStyle w:val="Listenabsatz"/>
        <w:numPr>
          <w:ilvl w:val="0"/>
          <w:numId w:val="13"/>
        </w:numPr>
        <w:rPr>
          <w:rFonts w:ascii="Tahoma" w:hAnsi="Tahoma" w:cs="Tahoma"/>
          <w:bCs/>
        </w:rPr>
      </w:pPr>
      <w:r w:rsidRPr="005C3A86">
        <w:rPr>
          <w:rFonts w:ascii="Tahoma" w:hAnsi="Tahoma" w:cs="Tahoma"/>
          <w:bCs/>
        </w:rPr>
        <w:t>Individualisierung</w:t>
      </w:r>
    </w:p>
    <w:p w14:paraId="0645AEC4" w14:textId="77777777" w:rsidR="005C3A86" w:rsidRPr="005C3A86" w:rsidRDefault="005C3A86" w:rsidP="005C3A86">
      <w:pPr>
        <w:pStyle w:val="Listenabsatz"/>
        <w:numPr>
          <w:ilvl w:val="0"/>
          <w:numId w:val="13"/>
        </w:numPr>
        <w:rPr>
          <w:rFonts w:ascii="Tahoma" w:hAnsi="Tahoma" w:cs="Tahoma"/>
          <w:bCs/>
        </w:rPr>
      </w:pPr>
      <w:r w:rsidRPr="005C3A86">
        <w:rPr>
          <w:rFonts w:ascii="Tahoma" w:hAnsi="Tahoma" w:cs="Tahoma"/>
          <w:bCs/>
        </w:rPr>
        <w:t>Gesundheitsgesellschaft</w:t>
      </w:r>
    </w:p>
    <w:p w14:paraId="3A4E48D4" w14:textId="52999759" w:rsidR="005C3A86" w:rsidRPr="005C3A86" w:rsidRDefault="005C3A86" w:rsidP="005C3A86">
      <w:pPr>
        <w:pStyle w:val="Listenabsatz"/>
        <w:numPr>
          <w:ilvl w:val="0"/>
          <w:numId w:val="13"/>
        </w:numPr>
        <w:rPr>
          <w:rFonts w:ascii="Tahoma" w:hAnsi="Tahoma" w:cs="Tahoma"/>
          <w:bCs/>
        </w:rPr>
      </w:pPr>
      <w:r w:rsidRPr="005C3A86">
        <w:rPr>
          <w:rFonts w:ascii="Tahoma" w:hAnsi="Tahoma" w:cs="Tahoma"/>
          <w:bCs/>
        </w:rPr>
        <w:t>Internet of Things</w:t>
      </w:r>
      <w:r w:rsidR="00784092">
        <w:rPr>
          <w:rFonts w:ascii="Tahoma" w:hAnsi="Tahoma" w:cs="Tahoma"/>
          <w:bCs/>
        </w:rPr>
        <w:t xml:space="preserve"> (IoT)</w:t>
      </w:r>
    </w:p>
    <w:p w14:paraId="684CCC9F" w14:textId="40196FA2" w:rsidR="005C3A86" w:rsidRPr="005C3A86" w:rsidRDefault="005C3A86" w:rsidP="005C3A86">
      <w:pPr>
        <w:pStyle w:val="Listenabsatz"/>
        <w:numPr>
          <w:ilvl w:val="0"/>
          <w:numId w:val="13"/>
        </w:numPr>
        <w:rPr>
          <w:rFonts w:ascii="Tahoma" w:hAnsi="Tahoma" w:cs="Tahoma"/>
          <w:bCs/>
        </w:rPr>
      </w:pPr>
      <w:r w:rsidRPr="005C3A86">
        <w:rPr>
          <w:rFonts w:ascii="Tahoma" w:hAnsi="Tahoma" w:cs="Tahoma"/>
          <w:bCs/>
        </w:rPr>
        <w:t>Künstliche Intelligenz</w:t>
      </w:r>
      <w:r w:rsidR="00784092">
        <w:rPr>
          <w:rFonts w:ascii="Tahoma" w:hAnsi="Tahoma" w:cs="Tahoma"/>
          <w:bCs/>
        </w:rPr>
        <w:t xml:space="preserve"> (KI)</w:t>
      </w:r>
    </w:p>
    <w:p w14:paraId="6552E745" w14:textId="77777777" w:rsidR="005C3A86" w:rsidRPr="005C3A86" w:rsidRDefault="005C3A86" w:rsidP="005C3A86">
      <w:pPr>
        <w:pStyle w:val="Listenabsatz"/>
        <w:numPr>
          <w:ilvl w:val="0"/>
          <w:numId w:val="13"/>
        </w:numPr>
        <w:rPr>
          <w:rFonts w:ascii="Tahoma" w:hAnsi="Tahoma" w:cs="Tahoma"/>
          <w:bCs/>
        </w:rPr>
      </w:pPr>
      <w:r w:rsidRPr="005C3A86">
        <w:rPr>
          <w:rFonts w:ascii="Tahoma" w:hAnsi="Tahoma" w:cs="Tahoma"/>
          <w:bCs/>
        </w:rPr>
        <w:t>Digitale Ökosysteme</w:t>
      </w:r>
    </w:p>
    <w:p w14:paraId="64FD5543" w14:textId="4B921254" w:rsidR="005C3A86" w:rsidRPr="005C3A86" w:rsidRDefault="005C3A86" w:rsidP="005C3A86">
      <w:pPr>
        <w:rPr>
          <w:rFonts w:ascii="Tahoma" w:hAnsi="Tahoma" w:cs="Tahoma"/>
          <w:bCs/>
        </w:rPr>
      </w:pPr>
      <w:r w:rsidRPr="005C3A86">
        <w:rPr>
          <w:rFonts w:ascii="Tahoma" w:hAnsi="Tahoma" w:cs="Tahoma"/>
          <w:bCs/>
        </w:rPr>
        <w:t>Insbesondere Individualisierung, Internet of Things</w:t>
      </w:r>
      <w:r>
        <w:rPr>
          <w:rFonts w:ascii="Tahoma" w:hAnsi="Tahoma" w:cs="Tahoma"/>
          <w:bCs/>
        </w:rPr>
        <w:t>,</w:t>
      </w:r>
      <w:r w:rsidRPr="005C3A86">
        <w:rPr>
          <w:rFonts w:ascii="Tahoma" w:hAnsi="Tahoma" w:cs="Tahoma"/>
          <w:bCs/>
        </w:rPr>
        <w:t xml:space="preserve"> Künstliche Intelligenz</w:t>
      </w:r>
      <w:r>
        <w:rPr>
          <w:rFonts w:ascii="Tahoma" w:hAnsi="Tahoma" w:cs="Tahoma"/>
          <w:bCs/>
        </w:rPr>
        <w:t xml:space="preserve"> sowie Kapitalmarkt</w:t>
      </w:r>
      <w:r w:rsidR="00784092">
        <w:rPr>
          <w:rFonts w:ascii="Tahoma" w:hAnsi="Tahoma" w:cs="Tahoma"/>
          <w:bCs/>
        </w:rPr>
        <w:t xml:space="preserve"> (Anlage</w:t>
      </w:r>
      <w:r w:rsidR="00E852E7">
        <w:rPr>
          <w:rFonts w:ascii="Tahoma" w:hAnsi="Tahoma" w:cs="Tahoma"/>
          <w:bCs/>
        </w:rPr>
        <w:t xml:space="preserve"> von Versicherungsbeiträgen</w:t>
      </w:r>
      <w:r>
        <w:rPr>
          <w:rFonts w:ascii="Tahoma" w:hAnsi="Tahoma" w:cs="Tahoma"/>
          <w:bCs/>
        </w:rPr>
        <w:t xml:space="preserve">) dürften lt. Expertenaussagen mit hoher Wahrscheinlichkeit eintreten. </w:t>
      </w:r>
    </w:p>
    <w:p w14:paraId="36F1F7BC" w14:textId="16AAA5EC" w:rsidR="005C3A86" w:rsidRDefault="005C3A86" w:rsidP="007E7931">
      <w:pPr>
        <w:rPr>
          <w:rFonts w:ascii="Tahoma" w:hAnsi="Tahoma" w:cs="Tahoma"/>
          <w:bCs/>
        </w:rPr>
      </w:pPr>
      <w:r>
        <w:rPr>
          <w:rFonts w:ascii="Tahoma" w:hAnsi="Tahoma" w:cs="Tahoma"/>
          <w:bCs/>
        </w:rPr>
        <w:t>Aus den Entwicklungstrends werden folgende Kompetenzanforderungen abgeleitet:</w:t>
      </w:r>
    </w:p>
    <w:p w14:paraId="5E4F1F53" w14:textId="77777777" w:rsidR="005C3A86" w:rsidRPr="005C3A86" w:rsidRDefault="005C3A86" w:rsidP="005C3A86">
      <w:pPr>
        <w:pStyle w:val="Listenabsatz"/>
        <w:numPr>
          <w:ilvl w:val="0"/>
          <w:numId w:val="13"/>
        </w:numPr>
        <w:rPr>
          <w:rFonts w:ascii="Tahoma" w:hAnsi="Tahoma" w:cs="Tahoma"/>
          <w:bCs/>
        </w:rPr>
      </w:pPr>
      <w:r w:rsidRPr="005C3A86">
        <w:rPr>
          <w:rFonts w:ascii="Tahoma" w:hAnsi="Tahoma" w:cs="Tahoma"/>
          <w:bCs/>
        </w:rPr>
        <w:t>Agiles Arbeiten</w:t>
      </w:r>
    </w:p>
    <w:p w14:paraId="1C7192B0" w14:textId="77777777" w:rsidR="005C3A86" w:rsidRPr="005C3A86" w:rsidRDefault="005C3A86" w:rsidP="005C3A86">
      <w:pPr>
        <w:pStyle w:val="Listenabsatz"/>
        <w:numPr>
          <w:ilvl w:val="0"/>
          <w:numId w:val="13"/>
        </w:numPr>
        <w:rPr>
          <w:rFonts w:ascii="Tahoma" w:hAnsi="Tahoma" w:cs="Tahoma"/>
          <w:bCs/>
        </w:rPr>
      </w:pPr>
      <w:r w:rsidRPr="005C3A86">
        <w:rPr>
          <w:rFonts w:ascii="Tahoma" w:hAnsi="Tahoma" w:cs="Tahoma"/>
          <w:bCs/>
        </w:rPr>
        <w:t>Kooperatives und vernetztes Arbeiten</w:t>
      </w:r>
    </w:p>
    <w:p w14:paraId="4C15341E" w14:textId="77777777" w:rsidR="005C3A86" w:rsidRPr="005C3A86" w:rsidRDefault="005C3A86" w:rsidP="005C3A86">
      <w:pPr>
        <w:pStyle w:val="Listenabsatz"/>
        <w:numPr>
          <w:ilvl w:val="0"/>
          <w:numId w:val="13"/>
        </w:numPr>
        <w:rPr>
          <w:rFonts w:ascii="Tahoma" w:hAnsi="Tahoma" w:cs="Tahoma"/>
          <w:bCs/>
        </w:rPr>
      </w:pPr>
      <w:r w:rsidRPr="005C3A86">
        <w:rPr>
          <w:rFonts w:ascii="Tahoma" w:hAnsi="Tahoma" w:cs="Tahoma"/>
          <w:bCs/>
        </w:rPr>
        <w:t>Kundenzentriertes Arbeiten</w:t>
      </w:r>
    </w:p>
    <w:p w14:paraId="647D35FE" w14:textId="77777777" w:rsidR="005C3A86" w:rsidRPr="005C3A86" w:rsidRDefault="005C3A86" w:rsidP="005C3A86">
      <w:pPr>
        <w:pStyle w:val="Listenabsatz"/>
        <w:numPr>
          <w:ilvl w:val="0"/>
          <w:numId w:val="13"/>
        </w:numPr>
        <w:rPr>
          <w:rFonts w:ascii="Tahoma" w:hAnsi="Tahoma" w:cs="Tahoma"/>
          <w:bCs/>
        </w:rPr>
      </w:pPr>
      <w:r w:rsidRPr="005C3A86">
        <w:rPr>
          <w:rFonts w:ascii="Tahoma" w:hAnsi="Tahoma" w:cs="Tahoma"/>
          <w:bCs/>
        </w:rPr>
        <w:t>Digitales Arbeiten</w:t>
      </w:r>
    </w:p>
    <w:p w14:paraId="328D3BF9" w14:textId="77777777" w:rsidR="005C3A86" w:rsidRPr="005C3A86" w:rsidRDefault="005C3A86" w:rsidP="005C3A86">
      <w:pPr>
        <w:pStyle w:val="Listenabsatz"/>
        <w:numPr>
          <w:ilvl w:val="0"/>
          <w:numId w:val="13"/>
        </w:numPr>
        <w:rPr>
          <w:rFonts w:ascii="Tahoma" w:hAnsi="Tahoma" w:cs="Tahoma"/>
          <w:bCs/>
        </w:rPr>
      </w:pPr>
      <w:r w:rsidRPr="005C3A86">
        <w:rPr>
          <w:rFonts w:ascii="Tahoma" w:hAnsi="Tahoma" w:cs="Tahoma"/>
          <w:bCs/>
        </w:rPr>
        <w:t>Verantwortliches und werteorientiertes Arbeiten</w:t>
      </w:r>
    </w:p>
    <w:p w14:paraId="4D9811B5" w14:textId="03633142" w:rsidR="005C4FEC" w:rsidRDefault="00550B38" w:rsidP="007E7931">
      <w:pPr>
        <w:rPr>
          <w:rFonts w:ascii="Tahoma" w:hAnsi="Tahoma" w:cs="Tahoma"/>
          <w:bCs/>
        </w:rPr>
      </w:pPr>
      <w:r>
        <w:rPr>
          <w:rFonts w:ascii="Tahoma" w:hAnsi="Tahoma" w:cs="Tahoma"/>
          <w:bCs/>
        </w:rPr>
        <w:t>In der folgenden Matrix sind die identifizierten Trends mit den Gliedern der Wertschöpfungskette in der Versicherungs</w:t>
      </w:r>
      <w:r w:rsidR="00E852E7">
        <w:rPr>
          <w:rFonts w:ascii="Tahoma" w:hAnsi="Tahoma" w:cs="Tahoma"/>
          <w:bCs/>
        </w:rPr>
        <w:t xml:space="preserve">wirtschaft </w:t>
      </w:r>
      <w:r>
        <w:rPr>
          <w:rFonts w:ascii="Tahoma" w:hAnsi="Tahoma" w:cs="Tahoma"/>
          <w:bCs/>
        </w:rPr>
        <w:t>verknüpft</w:t>
      </w:r>
      <w:r w:rsidR="00E852E7">
        <w:rPr>
          <w:rFonts w:ascii="Tahoma" w:hAnsi="Tahoma" w:cs="Tahoma"/>
          <w:bCs/>
        </w:rPr>
        <w:t xml:space="preserve"> (Seite 12 der Studie)</w:t>
      </w:r>
      <w:r>
        <w:rPr>
          <w:rFonts w:ascii="Tahoma" w:hAnsi="Tahoma" w:cs="Tahoma"/>
          <w:bCs/>
        </w:rPr>
        <w:t>. Die dunkelgrünen Felder zeigen diejenigen Wertschöpfungsglieder, die für die Bearbeitung der Trends umf</w:t>
      </w:r>
      <w:r w:rsidR="00E852E7">
        <w:rPr>
          <w:rFonts w:ascii="Tahoma" w:hAnsi="Tahoma" w:cs="Tahoma"/>
          <w:bCs/>
        </w:rPr>
        <w:t xml:space="preserve">angreiche </w:t>
      </w:r>
      <w:r>
        <w:rPr>
          <w:rFonts w:ascii="Tahoma" w:hAnsi="Tahoma" w:cs="Tahoma"/>
          <w:bCs/>
        </w:rPr>
        <w:t xml:space="preserve">neue Fähigkeiten benötigen. </w:t>
      </w:r>
      <w:r w:rsidR="00566FD4">
        <w:rPr>
          <w:rFonts w:ascii="Tahoma" w:hAnsi="Tahoma" w:cs="Tahoma"/>
          <w:bCs/>
        </w:rPr>
        <w:t xml:space="preserve">In den hellgrünen markierten Bereichen </w:t>
      </w:r>
      <w:r w:rsidR="00566FD4">
        <w:rPr>
          <w:rFonts w:ascii="Tahoma" w:hAnsi="Tahoma" w:cs="Tahoma"/>
          <w:bCs/>
        </w:rPr>
        <w:lastRenderedPageBreak/>
        <w:t xml:space="preserve">sind die Qualifikationsanforderungen geringer und in den übrigen Feldern bedarf es einer Anpassung der vorhandenen Fähigkeiten. </w:t>
      </w:r>
    </w:p>
    <w:p w14:paraId="73466246" w14:textId="76196B12" w:rsidR="00550B38" w:rsidRDefault="00552AD0" w:rsidP="007E7931">
      <w:pPr>
        <w:rPr>
          <w:rFonts w:ascii="Tahoma" w:hAnsi="Tahoma" w:cs="Tahoma"/>
          <w:bCs/>
        </w:rPr>
      </w:pPr>
      <w:r w:rsidRPr="00552AD0">
        <w:rPr>
          <w:noProof/>
        </w:rPr>
        <w:drawing>
          <wp:inline distT="0" distB="0" distL="0" distR="0" wp14:anchorId="36807515" wp14:editId="63AE417D">
            <wp:extent cx="5760720" cy="26517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651760"/>
                    </a:xfrm>
                    <a:prstGeom prst="rect">
                      <a:avLst/>
                    </a:prstGeom>
                    <a:noFill/>
                    <a:ln>
                      <a:noFill/>
                    </a:ln>
                  </pic:spPr>
                </pic:pic>
              </a:graphicData>
            </a:graphic>
          </wp:inline>
        </w:drawing>
      </w:r>
    </w:p>
    <w:p w14:paraId="1939A79A" w14:textId="7651683F" w:rsidR="006D5D6E" w:rsidRDefault="00566FD4" w:rsidP="007E7931">
      <w:pPr>
        <w:rPr>
          <w:rFonts w:ascii="Tahoma" w:hAnsi="Tahoma" w:cs="Tahoma"/>
          <w:bCs/>
        </w:rPr>
      </w:pPr>
      <w:r>
        <w:rPr>
          <w:rFonts w:ascii="Tahoma" w:hAnsi="Tahoma" w:cs="Tahoma"/>
          <w:bCs/>
        </w:rPr>
        <w:t xml:space="preserve">Auf der Grundlage der Matrix lassen sich somit diejenigen Abteilungen in den Versicherungsunternehmen identifizieren, in denen die Beschäftigten in naher Zukunft hohem Anpassungsdruck ausgesetzt sein werden. Die erforderlichen neuen Qualifikationen müssen detailliert analysiert werden, um im Anschluss daran </w:t>
      </w:r>
      <w:r w:rsidR="00552AD0">
        <w:rPr>
          <w:rFonts w:ascii="Tahoma" w:hAnsi="Tahoma" w:cs="Tahoma"/>
          <w:bCs/>
        </w:rPr>
        <w:t xml:space="preserve">zusammen </w:t>
      </w:r>
      <w:r>
        <w:rPr>
          <w:rFonts w:ascii="Tahoma" w:hAnsi="Tahoma" w:cs="Tahoma"/>
          <w:bCs/>
        </w:rPr>
        <w:t xml:space="preserve">mit Beschäftigten und Betriebsrat </w:t>
      </w:r>
      <w:r w:rsidR="006D5D6E">
        <w:rPr>
          <w:rFonts w:ascii="Tahoma" w:hAnsi="Tahoma" w:cs="Tahoma"/>
          <w:bCs/>
        </w:rPr>
        <w:t xml:space="preserve">zu ermitteln, wie sie erreicht werden können: </w:t>
      </w:r>
      <w:r w:rsidR="00C137A7">
        <w:rPr>
          <w:rFonts w:ascii="Tahoma" w:hAnsi="Tahoma" w:cs="Tahoma"/>
          <w:bCs/>
        </w:rPr>
        <w:t>Z.B. d</w:t>
      </w:r>
      <w:r w:rsidR="006D5D6E">
        <w:rPr>
          <w:rFonts w:ascii="Tahoma" w:hAnsi="Tahoma" w:cs="Tahoma"/>
          <w:bCs/>
        </w:rPr>
        <w:t xml:space="preserve">urch </w:t>
      </w:r>
    </w:p>
    <w:p w14:paraId="4E4A21F9" w14:textId="0D062188" w:rsidR="006D5D6E" w:rsidRPr="006D5D6E" w:rsidRDefault="006D5D6E" w:rsidP="006D5D6E">
      <w:pPr>
        <w:pStyle w:val="Listenabsatz"/>
        <w:numPr>
          <w:ilvl w:val="0"/>
          <w:numId w:val="16"/>
        </w:numPr>
        <w:rPr>
          <w:rFonts w:ascii="Tahoma" w:hAnsi="Tahoma" w:cs="Tahoma"/>
          <w:bCs/>
        </w:rPr>
      </w:pPr>
      <w:r w:rsidRPr="006D5D6E">
        <w:rPr>
          <w:rFonts w:ascii="Tahoma" w:hAnsi="Tahoma" w:cs="Tahoma"/>
          <w:bCs/>
        </w:rPr>
        <w:t>Vereinbarung eines Übergangsprozesses, bei dem ältere Beschäftigte das Rentenalter erreichen können.</w:t>
      </w:r>
    </w:p>
    <w:p w14:paraId="2BD00692" w14:textId="71AD8F12" w:rsidR="006D5D6E" w:rsidRPr="006D5D6E" w:rsidRDefault="006D5D6E" w:rsidP="006D5D6E">
      <w:pPr>
        <w:pStyle w:val="Listenabsatz"/>
        <w:numPr>
          <w:ilvl w:val="0"/>
          <w:numId w:val="16"/>
        </w:numPr>
        <w:rPr>
          <w:rFonts w:ascii="Tahoma" w:hAnsi="Tahoma" w:cs="Tahoma"/>
          <w:bCs/>
        </w:rPr>
      </w:pPr>
      <w:r w:rsidRPr="006D5D6E">
        <w:rPr>
          <w:rFonts w:ascii="Tahoma" w:hAnsi="Tahoma" w:cs="Tahoma"/>
          <w:bCs/>
        </w:rPr>
        <w:t xml:space="preserve">Versetzungen auf andere Arbeitsplätze, für die vorhandene Qualifikationen ausreichen. </w:t>
      </w:r>
    </w:p>
    <w:p w14:paraId="518E356C" w14:textId="0FDDB76F" w:rsidR="006D5D6E" w:rsidRPr="006D5D6E" w:rsidRDefault="006D5D6E" w:rsidP="006D5D6E">
      <w:pPr>
        <w:pStyle w:val="Listenabsatz"/>
        <w:numPr>
          <w:ilvl w:val="0"/>
          <w:numId w:val="16"/>
        </w:numPr>
        <w:rPr>
          <w:rFonts w:ascii="Tahoma" w:hAnsi="Tahoma" w:cs="Tahoma"/>
          <w:bCs/>
        </w:rPr>
      </w:pPr>
      <w:r w:rsidRPr="006D5D6E">
        <w:rPr>
          <w:rFonts w:ascii="Tahoma" w:hAnsi="Tahoma" w:cs="Tahoma"/>
          <w:bCs/>
        </w:rPr>
        <w:t>Weiterbildung einschl. eines unternehmensfinanzierte Studiums.</w:t>
      </w:r>
    </w:p>
    <w:p w14:paraId="18DD7FE4" w14:textId="2C19229D" w:rsidR="006D5D6E" w:rsidRDefault="006D5D6E" w:rsidP="006D5D6E">
      <w:pPr>
        <w:pStyle w:val="Listenabsatz"/>
        <w:numPr>
          <w:ilvl w:val="0"/>
          <w:numId w:val="16"/>
        </w:numPr>
        <w:rPr>
          <w:rFonts w:ascii="Tahoma" w:hAnsi="Tahoma" w:cs="Tahoma"/>
          <w:bCs/>
        </w:rPr>
      </w:pPr>
      <w:r w:rsidRPr="006D5D6E">
        <w:rPr>
          <w:rFonts w:ascii="Tahoma" w:hAnsi="Tahoma" w:cs="Tahoma"/>
          <w:bCs/>
        </w:rPr>
        <w:t>Neueinstellungen von Personen mit anforderungsgenauer Qualifikation.</w:t>
      </w:r>
    </w:p>
    <w:p w14:paraId="5B51AB70" w14:textId="4AB607D9" w:rsidR="00552AD0" w:rsidRPr="006D5D6E" w:rsidRDefault="00552AD0" w:rsidP="006D5D6E">
      <w:pPr>
        <w:pStyle w:val="Listenabsatz"/>
        <w:numPr>
          <w:ilvl w:val="0"/>
          <w:numId w:val="16"/>
        </w:numPr>
        <w:rPr>
          <w:rFonts w:ascii="Tahoma" w:hAnsi="Tahoma" w:cs="Tahoma"/>
          <w:bCs/>
        </w:rPr>
      </w:pPr>
      <w:r>
        <w:rPr>
          <w:rFonts w:ascii="Tahoma" w:hAnsi="Tahoma" w:cs="Tahoma"/>
          <w:bCs/>
        </w:rPr>
        <w:t xml:space="preserve">Anpassung der </w:t>
      </w:r>
      <w:r w:rsidR="004B2F22">
        <w:rPr>
          <w:rFonts w:ascii="Tahoma" w:hAnsi="Tahoma" w:cs="Tahoma"/>
          <w:bCs/>
        </w:rPr>
        <w:t>H</w:t>
      </w:r>
      <w:r>
        <w:rPr>
          <w:rFonts w:ascii="Tahoma" w:hAnsi="Tahoma" w:cs="Tahoma"/>
          <w:bCs/>
        </w:rPr>
        <w:t xml:space="preserve">ard- und </w:t>
      </w:r>
      <w:r w:rsidR="004B2F22">
        <w:rPr>
          <w:rFonts w:ascii="Tahoma" w:hAnsi="Tahoma" w:cs="Tahoma"/>
          <w:bCs/>
        </w:rPr>
        <w:t>S</w:t>
      </w:r>
      <w:r>
        <w:rPr>
          <w:rFonts w:ascii="Tahoma" w:hAnsi="Tahoma" w:cs="Tahoma"/>
          <w:bCs/>
        </w:rPr>
        <w:t>oftware.</w:t>
      </w:r>
    </w:p>
    <w:p w14:paraId="2DC97840" w14:textId="50B3CDA6" w:rsidR="00552AD0" w:rsidRDefault="004B2F22" w:rsidP="005B5F26">
      <w:pPr>
        <w:rPr>
          <w:rFonts w:ascii="Tahoma" w:hAnsi="Tahoma" w:cs="Tahoma"/>
          <w:bCs/>
        </w:rPr>
      </w:pPr>
      <w:r>
        <w:rPr>
          <w:rFonts w:ascii="Tahoma" w:hAnsi="Tahoma" w:cs="Tahoma"/>
          <w:bCs/>
        </w:rPr>
        <w:t>EWR Consulting unterstützt die Betriebsräte bei Fragen des Datenschutzes und dort w</w:t>
      </w:r>
      <w:r w:rsidR="00C137A7">
        <w:rPr>
          <w:rFonts w:ascii="Tahoma" w:hAnsi="Tahoma" w:cs="Tahoma"/>
          <w:bCs/>
        </w:rPr>
        <w:t>o ein Personalabbau geplant wird</w:t>
      </w:r>
      <w:r w:rsidR="00E741E3">
        <w:rPr>
          <w:rFonts w:ascii="Tahoma" w:hAnsi="Tahoma" w:cs="Tahoma"/>
          <w:bCs/>
        </w:rPr>
        <w:t xml:space="preserve"> bei der Bewertung der </w:t>
      </w:r>
      <w:r w:rsidR="002C6967">
        <w:rPr>
          <w:rFonts w:ascii="Tahoma" w:hAnsi="Tahoma" w:cs="Tahoma"/>
          <w:bCs/>
        </w:rPr>
        <w:t>Planung</w:t>
      </w:r>
      <w:r>
        <w:rPr>
          <w:rFonts w:ascii="Tahoma" w:hAnsi="Tahoma" w:cs="Tahoma"/>
          <w:bCs/>
        </w:rPr>
        <w:t>en</w:t>
      </w:r>
      <w:r w:rsidR="002C6967">
        <w:rPr>
          <w:rFonts w:ascii="Tahoma" w:hAnsi="Tahoma" w:cs="Tahoma"/>
          <w:bCs/>
        </w:rPr>
        <w:t xml:space="preserve"> der Geschäftsleitungen </w:t>
      </w:r>
      <w:r w:rsidR="00552AD0">
        <w:rPr>
          <w:rFonts w:ascii="Tahoma" w:hAnsi="Tahoma" w:cs="Tahoma"/>
          <w:bCs/>
        </w:rPr>
        <w:t xml:space="preserve">sowie </w:t>
      </w:r>
      <w:r w:rsidR="002C6967">
        <w:rPr>
          <w:rFonts w:ascii="Tahoma" w:hAnsi="Tahoma" w:cs="Tahoma"/>
          <w:bCs/>
        </w:rPr>
        <w:t xml:space="preserve">bei der Entwicklung sozialverträglicher Alternativen. </w:t>
      </w:r>
    </w:p>
    <w:p w14:paraId="666A3099" w14:textId="6456B68C" w:rsidR="00867572" w:rsidRPr="005B5F26" w:rsidRDefault="002C6967" w:rsidP="005B5F26">
      <w:pPr>
        <w:rPr>
          <w:rFonts w:ascii="Tahoma" w:hAnsi="Tahoma" w:cs="Tahoma"/>
          <w:bCs/>
        </w:rPr>
      </w:pPr>
      <w:r>
        <w:rPr>
          <w:rFonts w:ascii="Tahoma" w:hAnsi="Tahoma" w:cs="Tahoma"/>
          <w:bCs/>
        </w:rPr>
        <w:t xml:space="preserve">Die Versicherungen standen </w:t>
      </w:r>
      <w:r w:rsidR="00552AD0">
        <w:rPr>
          <w:rFonts w:ascii="Tahoma" w:hAnsi="Tahoma" w:cs="Tahoma"/>
          <w:bCs/>
        </w:rPr>
        <w:t xml:space="preserve">und stehen </w:t>
      </w:r>
      <w:r>
        <w:rPr>
          <w:rFonts w:ascii="Tahoma" w:hAnsi="Tahoma" w:cs="Tahoma"/>
          <w:bCs/>
        </w:rPr>
        <w:t>für die Absicherung der Versicherungsnehmer gegenüber Risiken und für die Gewährleistung von Stabilität in deren Leben. Bei allen Transformationsprozessen ist stets im Blick zu behalten, dass die Versicherungen nicht diejenigen Unsicherheit</w:t>
      </w:r>
      <w:r w:rsidR="006B1222">
        <w:rPr>
          <w:rFonts w:ascii="Tahoma" w:hAnsi="Tahoma" w:cs="Tahoma"/>
          <w:bCs/>
        </w:rPr>
        <w:t>en</w:t>
      </w:r>
      <w:r>
        <w:rPr>
          <w:rFonts w:ascii="Tahoma" w:hAnsi="Tahoma" w:cs="Tahoma"/>
          <w:bCs/>
        </w:rPr>
        <w:t xml:space="preserve"> mitproduzieren, vor denen sie ihre Kunden schützen </w:t>
      </w:r>
      <w:r w:rsidR="00552AD0">
        <w:rPr>
          <w:rFonts w:ascii="Tahoma" w:hAnsi="Tahoma" w:cs="Tahoma"/>
          <w:bCs/>
        </w:rPr>
        <w:t>wollen</w:t>
      </w:r>
      <w:r>
        <w:rPr>
          <w:rFonts w:ascii="Tahoma" w:hAnsi="Tahoma" w:cs="Tahoma"/>
          <w:bCs/>
        </w:rPr>
        <w:t xml:space="preserve">. </w:t>
      </w:r>
    </w:p>
    <w:p w14:paraId="7C4A8057" w14:textId="77777777" w:rsidR="003332E1" w:rsidRPr="004523FF" w:rsidRDefault="003332E1">
      <w:pPr>
        <w:rPr>
          <w:rFonts w:ascii="Tahoma" w:hAnsi="Tahoma" w:cs="Tahoma"/>
        </w:rPr>
      </w:pPr>
    </w:p>
    <w:sectPr w:rsidR="003332E1" w:rsidRPr="004523F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4B96" w14:textId="77777777" w:rsidR="00FE29A4" w:rsidRDefault="00FE29A4" w:rsidP="00C16833">
      <w:pPr>
        <w:spacing w:after="0" w:line="240" w:lineRule="auto"/>
      </w:pPr>
      <w:r>
        <w:separator/>
      </w:r>
    </w:p>
  </w:endnote>
  <w:endnote w:type="continuationSeparator" w:id="0">
    <w:p w14:paraId="7F3E994C" w14:textId="77777777" w:rsidR="00FE29A4" w:rsidRDefault="00FE29A4" w:rsidP="00C1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3D30" w14:textId="77777777" w:rsidR="00FE29A4" w:rsidRDefault="00FE29A4" w:rsidP="00C16833">
      <w:pPr>
        <w:spacing w:after="0" w:line="240" w:lineRule="auto"/>
      </w:pPr>
      <w:r>
        <w:separator/>
      </w:r>
    </w:p>
  </w:footnote>
  <w:footnote w:type="continuationSeparator" w:id="0">
    <w:p w14:paraId="25B98C38" w14:textId="77777777" w:rsidR="00FE29A4" w:rsidRDefault="00FE29A4" w:rsidP="00C16833">
      <w:pPr>
        <w:spacing w:after="0" w:line="240" w:lineRule="auto"/>
      </w:pPr>
      <w:r>
        <w:continuationSeparator/>
      </w:r>
    </w:p>
  </w:footnote>
  <w:footnote w:id="1">
    <w:p w14:paraId="14F28A18" w14:textId="7030825A" w:rsidR="00E852E7" w:rsidRDefault="00E852E7">
      <w:pPr>
        <w:pStyle w:val="Funotentext"/>
      </w:pPr>
      <w:r>
        <w:rPr>
          <w:rStyle w:val="Funotenzeichen"/>
        </w:rPr>
        <w:footnoteRef/>
      </w:r>
      <w:r>
        <w:t xml:space="preserve"> Institut für Versicherungswirtschaft Universität St. Gallen, Abschlussbericht „Skills der Zukunft“, April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568"/>
    <w:multiLevelType w:val="multilevel"/>
    <w:tmpl w:val="BE507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12C0"/>
    <w:multiLevelType w:val="hybridMultilevel"/>
    <w:tmpl w:val="E3E0A01C"/>
    <w:lvl w:ilvl="0" w:tplc="C3947F2A">
      <w:start w:val="1"/>
      <w:numFmt w:val="bullet"/>
      <w:lvlText w:val=""/>
      <w:lvlJc w:val="left"/>
      <w:pPr>
        <w:tabs>
          <w:tab w:val="num" w:pos="720"/>
        </w:tabs>
        <w:ind w:left="720" w:hanging="360"/>
      </w:pPr>
      <w:rPr>
        <w:rFonts w:ascii="Wingdings 3" w:hAnsi="Wingdings 3" w:hint="default"/>
      </w:rPr>
    </w:lvl>
    <w:lvl w:ilvl="1" w:tplc="CE3EAE6E">
      <w:start w:val="1"/>
      <w:numFmt w:val="bullet"/>
      <w:lvlText w:val=""/>
      <w:lvlJc w:val="left"/>
      <w:pPr>
        <w:tabs>
          <w:tab w:val="num" w:pos="1440"/>
        </w:tabs>
        <w:ind w:left="1440" w:hanging="360"/>
      </w:pPr>
      <w:rPr>
        <w:rFonts w:ascii="Wingdings 3" w:hAnsi="Wingdings 3" w:hint="default"/>
      </w:rPr>
    </w:lvl>
    <w:lvl w:ilvl="2" w:tplc="277C2428" w:tentative="1">
      <w:start w:val="1"/>
      <w:numFmt w:val="bullet"/>
      <w:lvlText w:val=""/>
      <w:lvlJc w:val="left"/>
      <w:pPr>
        <w:tabs>
          <w:tab w:val="num" w:pos="2160"/>
        </w:tabs>
        <w:ind w:left="2160" w:hanging="360"/>
      </w:pPr>
      <w:rPr>
        <w:rFonts w:ascii="Wingdings 3" w:hAnsi="Wingdings 3" w:hint="default"/>
      </w:rPr>
    </w:lvl>
    <w:lvl w:ilvl="3" w:tplc="91587054" w:tentative="1">
      <w:start w:val="1"/>
      <w:numFmt w:val="bullet"/>
      <w:lvlText w:val=""/>
      <w:lvlJc w:val="left"/>
      <w:pPr>
        <w:tabs>
          <w:tab w:val="num" w:pos="2880"/>
        </w:tabs>
        <w:ind w:left="2880" w:hanging="360"/>
      </w:pPr>
      <w:rPr>
        <w:rFonts w:ascii="Wingdings 3" w:hAnsi="Wingdings 3" w:hint="default"/>
      </w:rPr>
    </w:lvl>
    <w:lvl w:ilvl="4" w:tplc="EA0C69BA" w:tentative="1">
      <w:start w:val="1"/>
      <w:numFmt w:val="bullet"/>
      <w:lvlText w:val=""/>
      <w:lvlJc w:val="left"/>
      <w:pPr>
        <w:tabs>
          <w:tab w:val="num" w:pos="3600"/>
        </w:tabs>
        <w:ind w:left="3600" w:hanging="360"/>
      </w:pPr>
      <w:rPr>
        <w:rFonts w:ascii="Wingdings 3" w:hAnsi="Wingdings 3" w:hint="default"/>
      </w:rPr>
    </w:lvl>
    <w:lvl w:ilvl="5" w:tplc="7974D804" w:tentative="1">
      <w:start w:val="1"/>
      <w:numFmt w:val="bullet"/>
      <w:lvlText w:val=""/>
      <w:lvlJc w:val="left"/>
      <w:pPr>
        <w:tabs>
          <w:tab w:val="num" w:pos="4320"/>
        </w:tabs>
        <w:ind w:left="4320" w:hanging="360"/>
      </w:pPr>
      <w:rPr>
        <w:rFonts w:ascii="Wingdings 3" w:hAnsi="Wingdings 3" w:hint="default"/>
      </w:rPr>
    </w:lvl>
    <w:lvl w:ilvl="6" w:tplc="D41E31CC" w:tentative="1">
      <w:start w:val="1"/>
      <w:numFmt w:val="bullet"/>
      <w:lvlText w:val=""/>
      <w:lvlJc w:val="left"/>
      <w:pPr>
        <w:tabs>
          <w:tab w:val="num" w:pos="5040"/>
        </w:tabs>
        <w:ind w:left="5040" w:hanging="360"/>
      </w:pPr>
      <w:rPr>
        <w:rFonts w:ascii="Wingdings 3" w:hAnsi="Wingdings 3" w:hint="default"/>
      </w:rPr>
    </w:lvl>
    <w:lvl w:ilvl="7" w:tplc="BE7AFEC6" w:tentative="1">
      <w:start w:val="1"/>
      <w:numFmt w:val="bullet"/>
      <w:lvlText w:val=""/>
      <w:lvlJc w:val="left"/>
      <w:pPr>
        <w:tabs>
          <w:tab w:val="num" w:pos="5760"/>
        </w:tabs>
        <w:ind w:left="5760" w:hanging="360"/>
      </w:pPr>
      <w:rPr>
        <w:rFonts w:ascii="Wingdings 3" w:hAnsi="Wingdings 3" w:hint="default"/>
      </w:rPr>
    </w:lvl>
    <w:lvl w:ilvl="8" w:tplc="76E8271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E156344"/>
    <w:multiLevelType w:val="hybridMultilevel"/>
    <w:tmpl w:val="0B949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D979A6"/>
    <w:multiLevelType w:val="hybridMultilevel"/>
    <w:tmpl w:val="36D29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7521EE"/>
    <w:multiLevelType w:val="hybridMultilevel"/>
    <w:tmpl w:val="CE44A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D16167"/>
    <w:multiLevelType w:val="hybridMultilevel"/>
    <w:tmpl w:val="EEE2D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23251A"/>
    <w:multiLevelType w:val="hybridMultilevel"/>
    <w:tmpl w:val="3A9E2424"/>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3EF14B9"/>
    <w:multiLevelType w:val="hybridMultilevel"/>
    <w:tmpl w:val="6996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B41FEE"/>
    <w:multiLevelType w:val="hybridMultilevel"/>
    <w:tmpl w:val="696CE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1E0BAA"/>
    <w:multiLevelType w:val="hybridMultilevel"/>
    <w:tmpl w:val="6E86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E6561A"/>
    <w:multiLevelType w:val="hybridMultilevel"/>
    <w:tmpl w:val="C324B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9872F0"/>
    <w:multiLevelType w:val="hybridMultilevel"/>
    <w:tmpl w:val="642A2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2F2A27"/>
    <w:multiLevelType w:val="hybridMultilevel"/>
    <w:tmpl w:val="CA42F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BE6AD3"/>
    <w:multiLevelType w:val="hybridMultilevel"/>
    <w:tmpl w:val="D7A09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C1403A"/>
    <w:multiLevelType w:val="hybridMultilevel"/>
    <w:tmpl w:val="5114E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8D45DC"/>
    <w:multiLevelType w:val="hybridMultilevel"/>
    <w:tmpl w:val="74E29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9103962">
    <w:abstractNumId w:val="11"/>
  </w:num>
  <w:num w:numId="2" w16cid:durableId="925188001">
    <w:abstractNumId w:val="9"/>
  </w:num>
  <w:num w:numId="3" w16cid:durableId="904492712">
    <w:abstractNumId w:val="10"/>
  </w:num>
  <w:num w:numId="4" w16cid:durableId="2037148847">
    <w:abstractNumId w:val="13"/>
  </w:num>
  <w:num w:numId="5" w16cid:durableId="423915164">
    <w:abstractNumId w:val="0"/>
  </w:num>
  <w:num w:numId="6" w16cid:durableId="93483208">
    <w:abstractNumId w:val="15"/>
  </w:num>
  <w:num w:numId="7" w16cid:durableId="1383599381">
    <w:abstractNumId w:val="8"/>
  </w:num>
  <w:num w:numId="8" w16cid:durableId="235632194">
    <w:abstractNumId w:val="2"/>
  </w:num>
  <w:num w:numId="9" w16cid:durableId="1233656799">
    <w:abstractNumId w:val="12"/>
  </w:num>
  <w:num w:numId="10" w16cid:durableId="182985176">
    <w:abstractNumId w:val="5"/>
  </w:num>
  <w:num w:numId="11" w16cid:durableId="1947544182">
    <w:abstractNumId w:val="7"/>
  </w:num>
  <w:num w:numId="12" w16cid:durableId="303317919">
    <w:abstractNumId w:val="14"/>
  </w:num>
  <w:num w:numId="13" w16cid:durableId="1640308287">
    <w:abstractNumId w:val="3"/>
  </w:num>
  <w:num w:numId="14" w16cid:durableId="893353560">
    <w:abstractNumId w:val="1"/>
  </w:num>
  <w:num w:numId="15" w16cid:durableId="2144106657">
    <w:abstractNumId w:val="6"/>
  </w:num>
  <w:num w:numId="16" w16cid:durableId="578322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87"/>
    <w:rsid w:val="0001451B"/>
    <w:rsid w:val="00015003"/>
    <w:rsid w:val="00024209"/>
    <w:rsid w:val="0002616C"/>
    <w:rsid w:val="00030C94"/>
    <w:rsid w:val="00035A41"/>
    <w:rsid w:val="0005723C"/>
    <w:rsid w:val="000740BD"/>
    <w:rsid w:val="00082928"/>
    <w:rsid w:val="000B7099"/>
    <w:rsid w:val="000C13F3"/>
    <w:rsid w:val="00100866"/>
    <w:rsid w:val="00112BD0"/>
    <w:rsid w:val="001173E0"/>
    <w:rsid w:val="00143280"/>
    <w:rsid w:val="00146069"/>
    <w:rsid w:val="00152C5D"/>
    <w:rsid w:val="00160210"/>
    <w:rsid w:val="00175A99"/>
    <w:rsid w:val="00184848"/>
    <w:rsid w:val="00187DDE"/>
    <w:rsid w:val="001A11D3"/>
    <w:rsid w:val="001A16F6"/>
    <w:rsid w:val="001C04E5"/>
    <w:rsid w:val="001E57DB"/>
    <w:rsid w:val="001F7503"/>
    <w:rsid w:val="00205013"/>
    <w:rsid w:val="002713FB"/>
    <w:rsid w:val="002853C5"/>
    <w:rsid w:val="002868E5"/>
    <w:rsid w:val="002B14A7"/>
    <w:rsid w:val="002B4AC8"/>
    <w:rsid w:val="002C6967"/>
    <w:rsid w:val="002F2572"/>
    <w:rsid w:val="00307BD6"/>
    <w:rsid w:val="00313375"/>
    <w:rsid w:val="00322701"/>
    <w:rsid w:val="003332E1"/>
    <w:rsid w:val="00340AF6"/>
    <w:rsid w:val="003550BB"/>
    <w:rsid w:val="0036426C"/>
    <w:rsid w:val="00372CD8"/>
    <w:rsid w:val="00377C6B"/>
    <w:rsid w:val="00392DBB"/>
    <w:rsid w:val="00396FA9"/>
    <w:rsid w:val="003C3E52"/>
    <w:rsid w:val="003E3B36"/>
    <w:rsid w:val="003F3F92"/>
    <w:rsid w:val="00407DCF"/>
    <w:rsid w:val="004117E1"/>
    <w:rsid w:val="00432C41"/>
    <w:rsid w:val="00433433"/>
    <w:rsid w:val="0044721C"/>
    <w:rsid w:val="004523FF"/>
    <w:rsid w:val="0045485F"/>
    <w:rsid w:val="004579D5"/>
    <w:rsid w:val="00460833"/>
    <w:rsid w:val="004611B3"/>
    <w:rsid w:val="004638D2"/>
    <w:rsid w:val="00465AF4"/>
    <w:rsid w:val="004734F7"/>
    <w:rsid w:val="00480C9D"/>
    <w:rsid w:val="004A1F62"/>
    <w:rsid w:val="004B2E5F"/>
    <w:rsid w:val="004B2F22"/>
    <w:rsid w:val="004D001A"/>
    <w:rsid w:val="004D77F7"/>
    <w:rsid w:val="004E0726"/>
    <w:rsid w:val="004E5AD2"/>
    <w:rsid w:val="00501261"/>
    <w:rsid w:val="00511F64"/>
    <w:rsid w:val="005328CB"/>
    <w:rsid w:val="005364C2"/>
    <w:rsid w:val="00550B38"/>
    <w:rsid w:val="00552AD0"/>
    <w:rsid w:val="005573E0"/>
    <w:rsid w:val="0055764B"/>
    <w:rsid w:val="00566FD4"/>
    <w:rsid w:val="0058007F"/>
    <w:rsid w:val="005861BC"/>
    <w:rsid w:val="005A1690"/>
    <w:rsid w:val="005B5F26"/>
    <w:rsid w:val="005B68AB"/>
    <w:rsid w:val="005C3413"/>
    <w:rsid w:val="005C3A86"/>
    <w:rsid w:val="005C4FEC"/>
    <w:rsid w:val="005D24D0"/>
    <w:rsid w:val="005F0FE2"/>
    <w:rsid w:val="00625629"/>
    <w:rsid w:val="006278F4"/>
    <w:rsid w:val="006475BF"/>
    <w:rsid w:val="00656ADD"/>
    <w:rsid w:val="00671841"/>
    <w:rsid w:val="006955BA"/>
    <w:rsid w:val="006A22D9"/>
    <w:rsid w:val="006B1222"/>
    <w:rsid w:val="006B18AA"/>
    <w:rsid w:val="006B2726"/>
    <w:rsid w:val="006D259B"/>
    <w:rsid w:val="006D5D6E"/>
    <w:rsid w:val="006F0E6D"/>
    <w:rsid w:val="006F79CB"/>
    <w:rsid w:val="00707285"/>
    <w:rsid w:val="00717D08"/>
    <w:rsid w:val="00757896"/>
    <w:rsid w:val="00771573"/>
    <w:rsid w:val="00772466"/>
    <w:rsid w:val="0078093F"/>
    <w:rsid w:val="00784092"/>
    <w:rsid w:val="00796262"/>
    <w:rsid w:val="007A3F97"/>
    <w:rsid w:val="007A4F2D"/>
    <w:rsid w:val="007B38AC"/>
    <w:rsid w:val="007C07D0"/>
    <w:rsid w:val="007C5743"/>
    <w:rsid w:val="007E7931"/>
    <w:rsid w:val="007F1D65"/>
    <w:rsid w:val="00804047"/>
    <w:rsid w:val="0081377B"/>
    <w:rsid w:val="00816F56"/>
    <w:rsid w:val="00830DC0"/>
    <w:rsid w:val="00841CFC"/>
    <w:rsid w:val="00841DDA"/>
    <w:rsid w:val="008534AF"/>
    <w:rsid w:val="00856E47"/>
    <w:rsid w:val="00867572"/>
    <w:rsid w:val="008910CD"/>
    <w:rsid w:val="008A3583"/>
    <w:rsid w:val="008B71BC"/>
    <w:rsid w:val="008C2B1F"/>
    <w:rsid w:val="008E47F7"/>
    <w:rsid w:val="008F2ACB"/>
    <w:rsid w:val="00912A9F"/>
    <w:rsid w:val="009163BC"/>
    <w:rsid w:val="00941C5E"/>
    <w:rsid w:val="0095248E"/>
    <w:rsid w:val="00956EFD"/>
    <w:rsid w:val="00972A4D"/>
    <w:rsid w:val="00975BAE"/>
    <w:rsid w:val="009801D9"/>
    <w:rsid w:val="0098105C"/>
    <w:rsid w:val="00986327"/>
    <w:rsid w:val="00993A5B"/>
    <w:rsid w:val="009A2FF4"/>
    <w:rsid w:val="009D3A22"/>
    <w:rsid w:val="00A23E16"/>
    <w:rsid w:val="00A31774"/>
    <w:rsid w:val="00A51756"/>
    <w:rsid w:val="00A57F5D"/>
    <w:rsid w:val="00A66EAC"/>
    <w:rsid w:val="00AB29C3"/>
    <w:rsid w:val="00AB7430"/>
    <w:rsid w:val="00B14684"/>
    <w:rsid w:val="00B14F4B"/>
    <w:rsid w:val="00B354FE"/>
    <w:rsid w:val="00B36B15"/>
    <w:rsid w:val="00B61825"/>
    <w:rsid w:val="00B811E1"/>
    <w:rsid w:val="00B85F03"/>
    <w:rsid w:val="00B9613B"/>
    <w:rsid w:val="00BE3D71"/>
    <w:rsid w:val="00BE57FB"/>
    <w:rsid w:val="00BF035E"/>
    <w:rsid w:val="00BF3B0F"/>
    <w:rsid w:val="00C137A7"/>
    <w:rsid w:val="00C16833"/>
    <w:rsid w:val="00C20825"/>
    <w:rsid w:val="00C249DC"/>
    <w:rsid w:val="00C36ACA"/>
    <w:rsid w:val="00C501B6"/>
    <w:rsid w:val="00C60E52"/>
    <w:rsid w:val="00C6401C"/>
    <w:rsid w:val="00C7586F"/>
    <w:rsid w:val="00C84F0A"/>
    <w:rsid w:val="00C97387"/>
    <w:rsid w:val="00CA080C"/>
    <w:rsid w:val="00CA1466"/>
    <w:rsid w:val="00CA7D65"/>
    <w:rsid w:val="00CC33FF"/>
    <w:rsid w:val="00CD0896"/>
    <w:rsid w:val="00CD3C3E"/>
    <w:rsid w:val="00CF04A0"/>
    <w:rsid w:val="00CF20A4"/>
    <w:rsid w:val="00D04F74"/>
    <w:rsid w:val="00D162E3"/>
    <w:rsid w:val="00D47613"/>
    <w:rsid w:val="00D47EBF"/>
    <w:rsid w:val="00D63716"/>
    <w:rsid w:val="00D90F29"/>
    <w:rsid w:val="00DA27F9"/>
    <w:rsid w:val="00DA6FE7"/>
    <w:rsid w:val="00DB31CE"/>
    <w:rsid w:val="00DC101B"/>
    <w:rsid w:val="00DC290D"/>
    <w:rsid w:val="00DC50E4"/>
    <w:rsid w:val="00DC51D3"/>
    <w:rsid w:val="00DE323B"/>
    <w:rsid w:val="00DE3A3E"/>
    <w:rsid w:val="00E15697"/>
    <w:rsid w:val="00E2127A"/>
    <w:rsid w:val="00E36BCD"/>
    <w:rsid w:val="00E47413"/>
    <w:rsid w:val="00E57300"/>
    <w:rsid w:val="00E6433F"/>
    <w:rsid w:val="00E741E3"/>
    <w:rsid w:val="00E8132C"/>
    <w:rsid w:val="00E82633"/>
    <w:rsid w:val="00E852E7"/>
    <w:rsid w:val="00EA3FF0"/>
    <w:rsid w:val="00EA57B3"/>
    <w:rsid w:val="00EB23DD"/>
    <w:rsid w:val="00ED5BAF"/>
    <w:rsid w:val="00EF017F"/>
    <w:rsid w:val="00EF6D81"/>
    <w:rsid w:val="00F0478C"/>
    <w:rsid w:val="00F17349"/>
    <w:rsid w:val="00F2479E"/>
    <w:rsid w:val="00F37203"/>
    <w:rsid w:val="00F45D11"/>
    <w:rsid w:val="00F53CE6"/>
    <w:rsid w:val="00F542CC"/>
    <w:rsid w:val="00F56917"/>
    <w:rsid w:val="00F65F02"/>
    <w:rsid w:val="00F66C46"/>
    <w:rsid w:val="00F84413"/>
    <w:rsid w:val="00F873DD"/>
    <w:rsid w:val="00F95BC2"/>
    <w:rsid w:val="00FA3B62"/>
    <w:rsid w:val="00FA412E"/>
    <w:rsid w:val="00FC19C0"/>
    <w:rsid w:val="00FC2B86"/>
    <w:rsid w:val="00FE2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C647"/>
  <w15:docId w15:val="{BA16496D-2846-4607-B062-5D6D0662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6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er3">
    <w:name w:val="Kalender 3"/>
    <w:basedOn w:val="NormaleTabelle"/>
    <w:uiPriority w:val="99"/>
    <w:qFormat/>
    <w:rsid w:val="00015003"/>
    <w:pPr>
      <w:spacing w:after="0" w:line="240" w:lineRule="auto"/>
      <w:jc w:val="right"/>
    </w:pPr>
    <w:rPr>
      <w:rFonts w:asciiTheme="majorHAnsi" w:eastAsiaTheme="minorEastAsia" w:hAnsiTheme="majorHAnsi"/>
      <w:color w:val="7F7F7F" w:themeColor="text1" w:themeTint="80"/>
      <w:lang w:eastAsia="de-DE"/>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Sprechblasentext">
    <w:name w:val="Balloon Text"/>
    <w:basedOn w:val="Standard"/>
    <w:link w:val="SprechblasentextZchn"/>
    <w:uiPriority w:val="99"/>
    <w:semiHidden/>
    <w:unhideWhenUsed/>
    <w:rsid w:val="00C168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833"/>
    <w:rPr>
      <w:rFonts w:ascii="Tahoma" w:hAnsi="Tahoma" w:cs="Tahoma"/>
      <w:sz w:val="16"/>
      <w:szCs w:val="16"/>
    </w:rPr>
  </w:style>
  <w:style w:type="paragraph" w:styleId="Funotentext">
    <w:name w:val="footnote text"/>
    <w:basedOn w:val="Standard"/>
    <w:link w:val="FunotentextZchn"/>
    <w:uiPriority w:val="99"/>
    <w:semiHidden/>
    <w:unhideWhenUsed/>
    <w:rsid w:val="00C168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16833"/>
    <w:rPr>
      <w:sz w:val="20"/>
      <w:szCs w:val="20"/>
    </w:rPr>
  </w:style>
  <w:style w:type="character" w:styleId="Funotenzeichen">
    <w:name w:val="footnote reference"/>
    <w:basedOn w:val="Absatz-Standardschriftart"/>
    <w:uiPriority w:val="99"/>
    <w:semiHidden/>
    <w:unhideWhenUsed/>
    <w:rsid w:val="00C16833"/>
    <w:rPr>
      <w:vertAlign w:val="superscript"/>
    </w:rPr>
  </w:style>
  <w:style w:type="paragraph" w:styleId="Listenabsatz">
    <w:name w:val="List Paragraph"/>
    <w:basedOn w:val="Standard"/>
    <w:uiPriority w:val="34"/>
    <w:qFormat/>
    <w:rsid w:val="009A2FF4"/>
    <w:pPr>
      <w:ind w:left="720"/>
      <w:contextualSpacing/>
    </w:pPr>
  </w:style>
  <w:style w:type="character" w:styleId="Hyperlink">
    <w:name w:val="Hyperlink"/>
    <w:basedOn w:val="Absatz-Standardschriftart"/>
    <w:uiPriority w:val="99"/>
    <w:semiHidden/>
    <w:unhideWhenUsed/>
    <w:rsid w:val="00452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48588">
      <w:bodyDiv w:val="1"/>
      <w:marLeft w:val="0"/>
      <w:marRight w:val="0"/>
      <w:marTop w:val="0"/>
      <w:marBottom w:val="0"/>
      <w:divBdr>
        <w:top w:val="none" w:sz="0" w:space="0" w:color="auto"/>
        <w:left w:val="none" w:sz="0" w:space="0" w:color="auto"/>
        <w:bottom w:val="none" w:sz="0" w:space="0" w:color="auto"/>
        <w:right w:val="none" w:sz="0" w:space="0" w:color="auto"/>
      </w:divBdr>
    </w:div>
    <w:div w:id="704133992">
      <w:bodyDiv w:val="1"/>
      <w:marLeft w:val="0"/>
      <w:marRight w:val="0"/>
      <w:marTop w:val="0"/>
      <w:marBottom w:val="0"/>
      <w:divBdr>
        <w:top w:val="none" w:sz="0" w:space="0" w:color="auto"/>
        <w:left w:val="none" w:sz="0" w:space="0" w:color="auto"/>
        <w:bottom w:val="none" w:sz="0" w:space="0" w:color="auto"/>
        <w:right w:val="none" w:sz="0" w:space="0" w:color="auto"/>
      </w:divBdr>
    </w:div>
    <w:div w:id="820654242">
      <w:bodyDiv w:val="1"/>
      <w:marLeft w:val="0"/>
      <w:marRight w:val="0"/>
      <w:marTop w:val="0"/>
      <w:marBottom w:val="0"/>
      <w:divBdr>
        <w:top w:val="none" w:sz="0" w:space="0" w:color="auto"/>
        <w:left w:val="none" w:sz="0" w:space="0" w:color="auto"/>
        <w:bottom w:val="none" w:sz="0" w:space="0" w:color="auto"/>
        <w:right w:val="none" w:sz="0" w:space="0" w:color="auto"/>
      </w:divBdr>
    </w:div>
    <w:div w:id="1277449505">
      <w:bodyDiv w:val="1"/>
      <w:marLeft w:val="0"/>
      <w:marRight w:val="0"/>
      <w:marTop w:val="0"/>
      <w:marBottom w:val="0"/>
      <w:divBdr>
        <w:top w:val="none" w:sz="0" w:space="0" w:color="auto"/>
        <w:left w:val="none" w:sz="0" w:space="0" w:color="auto"/>
        <w:bottom w:val="none" w:sz="0" w:space="0" w:color="auto"/>
        <w:right w:val="none" w:sz="0" w:space="0" w:color="auto"/>
      </w:divBdr>
    </w:div>
    <w:div w:id="1354765410">
      <w:bodyDiv w:val="1"/>
      <w:marLeft w:val="0"/>
      <w:marRight w:val="0"/>
      <w:marTop w:val="0"/>
      <w:marBottom w:val="0"/>
      <w:divBdr>
        <w:top w:val="none" w:sz="0" w:space="0" w:color="auto"/>
        <w:left w:val="none" w:sz="0" w:space="0" w:color="auto"/>
        <w:bottom w:val="none" w:sz="0" w:space="0" w:color="auto"/>
        <w:right w:val="none" w:sz="0" w:space="0" w:color="auto"/>
      </w:divBdr>
      <w:divsChild>
        <w:div w:id="844444980">
          <w:marLeft w:val="850"/>
          <w:marRight w:val="0"/>
          <w:marTop w:val="67"/>
          <w:marBottom w:val="0"/>
          <w:divBdr>
            <w:top w:val="none" w:sz="0" w:space="0" w:color="auto"/>
            <w:left w:val="none" w:sz="0" w:space="0" w:color="auto"/>
            <w:bottom w:val="none" w:sz="0" w:space="0" w:color="auto"/>
            <w:right w:val="none" w:sz="0" w:space="0" w:color="auto"/>
          </w:divBdr>
        </w:div>
        <w:div w:id="1872912288">
          <w:marLeft w:val="850"/>
          <w:marRight w:val="0"/>
          <w:marTop w:val="67"/>
          <w:marBottom w:val="0"/>
          <w:divBdr>
            <w:top w:val="none" w:sz="0" w:space="0" w:color="auto"/>
            <w:left w:val="none" w:sz="0" w:space="0" w:color="auto"/>
            <w:bottom w:val="none" w:sz="0" w:space="0" w:color="auto"/>
            <w:right w:val="none" w:sz="0" w:space="0" w:color="auto"/>
          </w:divBdr>
        </w:div>
        <w:div w:id="588662920">
          <w:marLeft w:val="850"/>
          <w:marRight w:val="0"/>
          <w:marTop w:val="67"/>
          <w:marBottom w:val="0"/>
          <w:divBdr>
            <w:top w:val="none" w:sz="0" w:space="0" w:color="auto"/>
            <w:left w:val="none" w:sz="0" w:space="0" w:color="auto"/>
            <w:bottom w:val="none" w:sz="0" w:space="0" w:color="auto"/>
            <w:right w:val="none" w:sz="0" w:space="0" w:color="auto"/>
          </w:divBdr>
        </w:div>
        <w:div w:id="1328440479">
          <w:marLeft w:val="850"/>
          <w:marRight w:val="0"/>
          <w:marTop w:val="67"/>
          <w:marBottom w:val="0"/>
          <w:divBdr>
            <w:top w:val="none" w:sz="0" w:space="0" w:color="auto"/>
            <w:left w:val="none" w:sz="0" w:space="0" w:color="auto"/>
            <w:bottom w:val="none" w:sz="0" w:space="0" w:color="auto"/>
            <w:right w:val="none" w:sz="0" w:space="0" w:color="auto"/>
          </w:divBdr>
        </w:div>
        <w:div w:id="1991597501">
          <w:marLeft w:val="850"/>
          <w:marRight w:val="0"/>
          <w:marTop w:val="67"/>
          <w:marBottom w:val="0"/>
          <w:divBdr>
            <w:top w:val="none" w:sz="0" w:space="0" w:color="auto"/>
            <w:left w:val="none" w:sz="0" w:space="0" w:color="auto"/>
            <w:bottom w:val="none" w:sz="0" w:space="0" w:color="auto"/>
            <w:right w:val="none" w:sz="0" w:space="0" w:color="auto"/>
          </w:divBdr>
        </w:div>
      </w:divsChild>
    </w:div>
    <w:div w:id="1587301726">
      <w:bodyDiv w:val="1"/>
      <w:marLeft w:val="0"/>
      <w:marRight w:val="0"/>
      <w:marTop w:val="0"/>
      <w:marBottom w:val="0"/>
      <w:divBdr>
        <w:top w:val="none" w:sz="0" w:space="0" w:color="auto"/>
        <w:left w:val="none" w:sz="0" w:space="0" w:color="auto"/>
        <w:bottom w:val="none" w:sz="0" w:space="0" w:color="auto"/>
        <w:right w:val="none" w:sz="0" w:space="0" w:color="auto"/>
      </w:divBdr>
      <w:divsChild>
        <w:div w:id="12343972">
          <w:marLeft w:val="0"/>
          <w:marRight w:val="0"/>
          <w:marTop w:val="0"/>
          <w:marBottom w:val="0"/>
          <w:divBdr>
            <w:top w:val="none" w:sz="0" w:space="0" w:color="auto"/>
            <w:left w:val="none" w:sz="0" w:space="0" w:color="auto"/>
            <w:bottom w:val="none" w:sz="0" w:space="0" w:color="auto"/>
            <w:right w:val="none" w:sz="0" w:space="0" w:color="auto"/>
          </w:divBdr>
          <w:divsChild>
            <w:div w:id="63184224">
              <w:marLeft w:val="0"/>
              <w:marRight w:val="0"/>
              <w:marTop w:val="0"/>
              <w:marBottom w:val="0"/>
              <w:divBdr>
                <w:top w:val="none" w:sz="0" w:space="0" w:color="auto"/>
                <w:left w:val="none" w:sz="0" w:space="0" w:color="auto"/>
                <w:bottom w:val="none" w:sz="0" w:space="0" w:color="auto"/>
                <w:right w:val="none" w:sz="0" w:space="0" w:color="auto"/>
              </w:divBdr>
              <w:divsChild>
                <w:div w:id="1041978150">
                  <w:marLeft w:val="0"/>
                  <w:marRight w:val="0"/>
                  <w:marTop w:val="100"/>
                  <w:marBottom w:val="100"/>
                  <w:divBdr>
                    <w:top w:val="none" w:sz="0" w:space="0" w:color="auto"/>
                    <w:left w:val="none" w:sz="0" w:space="0" w:color="auto"/>
                    <w:bottom w:val="none" w:sz="0" w:space="0" w:color="auto"/>
                    <w:right w:val="none" w:sz="0" w:space="0" w:color="auto"/>
                  </w:divBdr>
                  <w:divsChild>
                    <w:div w:id="1933858990">
                      <w:marLeft w:val="-225"/>
                      <w:marRight w:val="-225"/>
                      <w:marTop w:val="0"/>
                      <w:marBottom w:val="0"/>
                      <w:divBdr>
                        <w:top w:val="none" w:sz="0" w:space="0" w:color="auto"/>
                        <w:left w:val="none" w:sz="0" w:space="0" w:color="auto"/>
                        <w:bottom w:val="none" w:sz="0" w:space="0" w:color="auto"/>
                        <w:right w:val="none" w:sz="0" w:space="0" w:color="auto"/>
                      </w:divBdr>
                      <w:divsChild>
                        <w:div w:id="789133379">
                          <w:marLeft w:val="0"/>
                          <w:marRight w:val="0"/>
                          <w:marTop w:val="0"/>
                          <w:marBottom w:val="675"/>
                          <w:divBdr>
                            <w:top w:val="none" w:sz="0" w:space="0" w:color="auto"/>
                            <w:left w:val="none" w:sz="0" w:space="0" w:color="auto"/>
                            <w:bottom w:val="none" w:sz="0" w:space="0" w:color="auto"/>
                            <w:right w:val="none" w:sz="0" w:space="0" w:color="auto"/>
                          </w:divBdr>
                          <w:divsChild>
                            <w:div w:id="1577397085">
                              <w:marLeft w:val="0"/>
                              <w:marRight w:val="0"/>
                              <w:marTop w:val="0"/>
                              <w:marBottom w:val="0"/>
                              <w:divBdr>
                                <w:top w:val="none" w:sz="0" w:space="0" w:color="auto"/>
                                <w:left w:val="none" w:sz="0" w:space="0" w:color="auto"/>
                                <w:bottom w:val="none" w:sz="0" w:space="0" w:color="auto"/>
                                <w:right w:val="none" w:sz="0" w:space="0" w:color="auto"/>
                              </w:divBdr>
                              <w:divsChild>
                                <w:div w:id="144858041">
                                  <w:marLeft w:val="0"/>
                                  <w:marRight w:val="0"/>
                                  <w:marTop w:val="0"/>
                                  <w:marBottom w:val="0"/>
                                  <w:divBdr>
                                    <w:top w:val="none" w:sz="0" w:space="0" w:color="auto"/>
                                    <w:left w:val="none" w:sz="0" w:space="0" w:color="auto"/>
                                    <w:bottom w:val="none" w:sz="0" w:space="0" w:color="auto"/>
                                    <w:right w:val="none" w:sz="0" w:space="0" w:color="auto"/>
                                  </w:divBdr>
                                  <w:divsChild>
                                    <w:div w:id="1599950483">
                                      <w:marLeft w:val="0"/>
                                      <w:marRight w:val="0"/>
                                      <w:marTop w:val="0"/>
                                      <w:marBottom w:val="825"/>
                                      <w:divBdr>
                                        <w:top w:val="none" w:sz="0" w:space="0" w:color="auto"/>
                                        <w:left w:val="none" w:sz="0" w:space="0" w:color="auto"/>
                                        <w:bottom w:val="none" w:sz="0" w:space="0" w:color="auto"/>
                                        <w:right w:val="none" w:sz="0" w:space="0" w:color="auto"/>
                                      </w:divBdr>
                                      <w:divsChild>
                                        <w:div w:id="968508577">
                                          <w:marLeft w:val="0"/>
                                          <w:marRight w:val="0"/>
                                          <w:marTop w:val="0"/>
                                          <w:marBottom w:val="0"/>
                                          <w:divBdr>
                                            <w:top w:val="none" w:sz="0" w:space="0" w:color="auto"/>
                                            <w:left w:val="none" w:sz="0" w:space="0" w:color="auto"/>
                                            <w:bottom w:val="none" w:sz="0" w:space="0" w:color="auto"/>
                                            <w:right w:val="none" w:sz="0" w:space="0" w:color="auto"/>
                                          </w:divBdr>
                                          <w:divsChild>
                                            <w:div w:id="16411144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4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A5CA-8967-4183-BE7C-037462FE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Christiane Schwab</cp:lastModifiedBy>
  <cp:revision>2</cp:revision>
  <cp:lastPrinted>2018-02-12T12:32:00Z</cp:lastPrinted>
  <dcterms:created xsi:type="dcterms:W3CDTF">2022-12-15T12:12:00Z</dcterms:created>
  <dcterms:modified xsi:type="dcterms:W3CDTF">2022-12-15T12:12:00Z</dcterms:modified>
</cp:coreProperties>
</file>